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243DD" w14:paraId="18A87731" w14:textId="77777777" w:rsidTr="001C4218">
        <w:tc>
          <w:tcPr>
            <w:tcW w:w="9608" w:type="dxa"/>
          </w:tcPr>
          <w:p w14:paraId="0CEDC4ED" w14:textId="6C0064A6" w:rsidR="009243DD" w:rsidRPr="001C4218" w:rsidRDefault="009243DD" w:rsidP="00B94432">
            <w:pPr>
              <w:spacing w:line="259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ab/>
            </w:r>
            <w:r w:rsidRPr="001C4218">
              <w:rPr>
                <w:rFonts w:ascii="Century Gothic" w:hAnsi="Century Gothic"/>
                <w:b/>
                <w:bCs/>
                <w:sz w:val="28"/>
                <w:szCs w:val="28"/>
              </w:rPr>
              <w:t>AVVISO ALLA CLIENTELA</w:t>
            </w:r>
          </w:p>
        </w:tc>
      </w:tr>
    </w:tbl>
    <w:p w14:paraId="1B7D0DDF" w14:textId="3347819F" w:rsidR="009243DD" w:rsidRPr="006E4FC9" w:rsidRDefault="007472E3" w:rsidP="007472E3">
      <w:pPr>
        <w:spacing w:before="120" w:after="0" w:line="240" w:lineRule="auto"/>
        <w:jc w:val="both"/>
        <w:rPr>
          <w:rFonts w:ascii="Century Gothic" w:hAnsi="Century Gothic"/>
          <w:sz w:val="21"/>
          <w:szCs w:val="21"/>
        </w:rPr>
      </w:pPr>
      <w:bookmarkStart w:id="0" w:name="_Hlk167180006"/>
      <w:r w:rsidRPr="007472E3">
        <w:rPr>
          <w:rFonts w:ascii="Century Gothic" w:hAnsi="Century Gothic"/>
          <w:b/>
          <w:bCs/>
          <w:sz w:val="21"/>
          <w:szCs w:val="21"/>
        </w:rPr>
        <w:t xml:space="preserve">Decreto - </w:t>
      </w:r>
      <w:r w:rsidR="00C13111">
        <w:rPr>
          <w:rFonts w:ascii="Century Gothic" w:hAnsi="Century Gothic"/>
          <w:b/>
          <w:bCs/>
          <w:sz w:val="21"/>
          <w:szCs w:val="21"/>
        </w:rPr>
        <w:t>L</w:t>
      </w:r>
      <w:r w:rsidRPr="007472E3">
        <w:rPr>
          <w:rFonts w:ascii="Century Gothic" w:hAnsi="Century Gothic"/>
          <w:b/>
          <w:bCs/>
          <w:sz w:val="21"/>
          <w:szCs w:val="21"/>
        </w:rPr>
        <w:t>egge 15 maggio 2024, n. 63 “</w:t>
      </w:r>
      <w:r w:rsidRPr="007472E3">
        <w:rPr>
          <w:rFonts w:ascii="Century Gothic" w:hAnsi="Century Gothic"/>
          <w:b/>
          <w:bCs/>
          <w:i/>
          <w:iCs/>
          <w:sz w:val="21"/>
          <w:szCs w:val="21"/>
        </w:rPr>
        <w:t>Disposizioni urgenti per le imprese agricole, della pesca</w:t>
      </w:r>
      <w:r w:rsidR="000E268D">
        <w:rPr>
          <w:rFonts w:ascii="Century Gothic" w:hAnsi="Century Gothic"/>
          <w:b/>
          <w:bCs/>
          <w:i/>
          <w:iCs/>
          <w:sz w:val="21"/>
          <w:szCs w:val="21"/>
        </w:rPr>
        <w:t xml:space="preserve"> e</w:t>
      </w:r>
      <w:r w:rsidRPr="007472E3">
        <w:rPr>
          <w:rFonts w:ascii="Century Gothic" w:hAnsi="Century Gothic"/>
          <w:b/>
          <w:bCs/>
          <w:i/>
          <w:iCs/>
          <w:sz w:val="21"/>
          <w:szCs w:val="21"/>
        </w:rPr>
        <w:t xml:space="preserve"> dell’acquacoltur</w:t>
      </w:r>
      <w:r w:rsidR="000D4954">
        <w:rPr>
          <w:rFonts w:ascii="Century Gothic" w:hAnsi="Century Gothic"/>
          <w:b/>
          <w:bCs/>
          <w:i/>
          <w:iCs/>
          <w:sz w:val="21"/>
          <w:szCs w:val="21"/>
        </w:rPr>
        <w:t>a</w:t>
      </w:r>
      <w:r w:rsidRPr="007472E3">
        <w:rPr>
          <w:rFonts w:ascii="Century Gothic" w:hAnsi="Century Gothic"/>
          <w:b/>
          <w:bCs/>
          <w:i/>
          <w:iCs/>
          <w:sz w:val="21"/>
          <w:szCs w:val="21"/>
        </w:rPr>
        <w:t>, nonché per le imprese di interesse strategico nazionale”</w:t>
      </w:r>
      <w:r w:rsidRPr="007472E3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9243DD" w:rsidRPr="006E4FC9">
        <w:rPr>
          <w:rFonts w:ascii="Century Gothic" w:hAnsi="Century Gothic"/>
          <w:sz w:val="21"/>
          <w:szCs w:val="21"/>
        </w:rPr>
        <w:t>(pubblicat</w:t>
      </w:r>
      <w:r w:rsidR="00B93392" w:rsidRPr="006E4FC9">
        <w:rPr>
          <w:rFonts w:ascii="Century Gothic" w:hAnsi="Century Gothic"/>
          <w:sz w:val="21"/>
          <w:szCs w:val="21"/>
        </w:rPr>
        <w:t>o</w:t>
      </w:r>
      <w:r w:rsidR="009243DD" w:rsidRPr="006E4FC9">
        <w:rPr>
          <w:rFonts w:ascii="Century Gothic" w:hAnsi="Century Gothic"/>
          <w:sz w:val="21"/>
          <w:szCs w:val="21"/>
        </w:rPr>
        <w:t xml:space="preserve"> sulla </w:t>
      </w:r>
      <w:r w:rsidRPr="007472E3">
        <w:rPr>
          <w:rFonts w:ascii="Century Gothic" w:hAnsi="Century Gothic"/>
          <w:sz w:val="21"/>
          <w:szCs w:val="21"/>
        </w:rPr>
        <w:t>Gazzetta Ufficiale n. 112 del 15 maggio 2024</w:t>
      </w:r>
      <w:r w:rsidR="009243DD" w:rsidRPr="006E4FC9">
        <w:rPr>
          <w:rFonts w:ascii="Century Gothic" w:hAnsi="Century Gothic"/>
          <w:sz w:val="21"/>
          <w:szCs w:val="21"/>
        </w:rPr>
        <w:t>)</w:t>
      </w:r>
      <w:r>
        <w:rPr>
          <w:rFonts w:ascii="Century Gothic" w:hAnsi="Century Gothic"/>
          <w:sz w:val="21"/>
          <w:szCs w:val="21"/>
        </w:rPr>
        <w:t>.</w:t>
      </w:r>
    </w:p>
    <w:bookmarkEnd w:id="0"/>
    <w:p w14:paraId="7B9EBF1D" w14:textId="630FD405" w:rsidR="007472E3" w:rsidRPr="007472E3" w:rsidRDefault="007472E3" w:rsidP="007472E3">
      <w:pPr>
        <w:spacing w:before="120" w:after="120" w:line="240" w:lineRule="auto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L</w:t>
      </w:r>
      <w:r w:rsidRPr="007472E3">
        <w:rPr>
          <w:rFonts w:ascii="Century Gothic" w:hAnsi="Century Gothic"/>
          <w:sz w:val="21"/>
          <w:szCs w:val="21"/>
        </w:rPr>
        <w:t xml:space="preserve">’art. 1 del Decreto - </w:t>
      </w:r>
      <w:r w:rsidR="00C13111">
        <w:rPr>
          <w:rFonts w:ascii="Century Gothic" w:hAnsi="Century Gothic"/>
          <w:sz w:val="21"/>
          <w:szCs w:val="21"/>
        </w:rPr>
        <w:t>L</w:t>
      </w:r>
      <w:r w:rsidRPr="007472E3">
        <w:rPr>
          <w:rFonts w:ascii="Century Gothic" w:hAnsi="Century Gothic"/>
          <w:sz w:val="21"/>
          <w:szCs w:val="21"/>
        </w:rPr>
        <w:t>egge 15 maggio 2024, n. 63 “</w:t>
      </w:r>
      <w:r w:rsidRPr="007472E3">
        <w:rPr>
          <w:rFonts w:ascii="Century Gothic" w:hAnsi="Century Gothic"/>
          <w:i/>
          <w:iCs/>
          <w:sz w:val="21"/>
          <w:szCs w:val="21"/>
        </w:rPr>
        <w:t>Disposizioni urgenti per le imprese agricole, della pesca</w:t>
      </w:r>
      <w:r w:rsidR="000D4954">
        <w:rPr>
          <w:rFonts w:ascii="Century Gothic" w:hAnsi="Century Gothic"/>
          <w:i/>
          <w:iCs/>
          <w:sz w:val="21"/>
          <w:szCs w:val="21"/>
        </w:rPr>
        <w:t xml:space="preserve"> e</w:t>
      </w:r>
      <w:r w:rsidRPr="007472E3">
        <w:rPr>
          <w:rFonts w:ascii="Century Gothic" w:hAnsi="Century Gothic"/>
          <w:i/>
          <w:iCs/>
          <w:sz w:val="21"/>
          <w:szCs w:val="21"/>
        </w:rPr>
        <w:t xml:space="preserve"> dell’acquacoltur</w:t>
      </w:r>
      <w:r w:rsidR="000D4954">
        <w:rPr>
          <w:rFonts w:ascii="Century Gothic" w:hAnsi="Century Gothic"/>
          <w:i/>
          <w:iCs/>
          <w:sz w:val="21"/>
          <w:szCs w:val="21"/>
        </w:rPr>
        <w:t>a</w:t>
      </w:r>
      <w:r w:rsidRPr="007472E3">
        <w:rPr>
          <w:rFonts w:ascii="Century Gothic" w:hAnsi="Century Gothic"/>
          <w:i/>
          <w:iCs/>
          <w:sz w:val="21"/>
          <w:szCs w:val="21"/>
        </w:rPr>
        <w:t>, nonché per le imprese di interesse strategico nazionale”</w:t>
      </w:r>
      <w:r w:rsidRPr="007472E3">
        <w:rPr>
          <w:rFonts w:ascii="Century Gothic" w:hAnsi="Century Gothic"/>
          <w:b/>
          <w:bCs/>
          <w:sz w:val="21"/>
          <w:szCs w:val="21"/>
        </w:rPr>
        <w:t xml:space="preserve"> </w:t>
      </w:r>
      <w:r w:rsidRPr="007472E3">
        <w:rPr>
          <w:rFonts w:ascii="Century Gothic" w:hAnsi="Century Gothic"/>
          <w:sz w:val="21"/>
          <w:szCs w:val="21"/>
        </w:rPr>
        <w:t xml:space="preserve">prevede una serie di misure volte ad assicurare il sostegno alle filiere produttive, in particolare </w:t>
      </w:r>
      <w:r w:rsidR="000D4954">
        <w:rPr>
          <w:rFonts w:ascii="Century Gothic" w:hAnsi="Century Gothic"/>
          <w:sz w:val="21"/>
          <w:szCs w:val="21"/>
        </w:rPr>
        <w:t>a</w:t>
      </w:r>
      <w:r w:rsidRPr="007472E3">
        <w:rPr>
          <w:rFonts w:ascii="Century Gothic" w:hAnsi="Century Gothic"/>
          <w:sz w:val="21"/>
          <w:szCs w:val="21"/>
        </w:rPr>
        <w:t xml:space="preserve">l settore cerealicolo, </w:t>
      </w:r>
      <w:r w:rsidR="000D4954">
        <w:rPr>
          <w:rFonts w:ascii="Century Gothic" w:hAnsi="Century Gothic"/>
          <w:sz w:val="21"/>
          <w:szCs w:val="21"/>
        </w:rPr>
        <w:t xml:space="preserve">a quello </w:t>
      </w:r>
      <w:r w:rsidRPr="007472E3">
        <w:rPr>
          <w:rFonts w:ascii="Century Gothic" w:hAnsi="Century Gothic"/>
          <w:sz w:val="21"/>
          <w:szCs w:val="21"/>
        </w:rPr>
        <w:t>della pesca e dell’acquacoltura, con l’obiettivo di contenere gli effetti economici conseguenti al conflitto russo-ucraino e alla diffusione della specie granchio blu.</w:t>
      </w:r>
    </w:p>
    <w:p w14:paraId="1416A51D" w14:textId="7CF87F26" w:rsidR="007472E3" w:rsidRPr="007472E3" w:rsidRDefault="007472E3" w:rsidP="007472E3">
      <w:pPr>
        <w:spacing w:before="120" w:after="120" w:line="240" w:lineRule="auto"/>
        <w:jc w:val="both"/>
        <w:rPr>
          <w:rFonts w:ascii="Century Gothic" w:hAnsi="Century Gothic"/>
          <w:sz w:val="21"/>
          <w:szCs w:val="21"/>
        </w:rPr>
      </w:pPr>
      <w:r w:rsidRPr="007472E3">
        <w:rPr>
          <w:rFonts w:ascii="Century Gothic" w:hAnsi="Century Gothic"/>
          <w:sz w:val="21"/>
          <w:szCs w:val="21"/>
        </w:rPr>
        <w:t>Il comma 2 del richiamato articolo</w:t>
      </w:r>
      <w:r w:rsidRPr="007472E3">
        <w:rPr>
          <w:rFonts w:ascii="Century Gothic" w:hAnsi="Century Gothic"/>
          <w:b/>
          <w:bCs/>
          <w:sz w:val="21"/>
          <w:szCs w:val="21"/>
        </w:rPr>
        <w:t xml:space="preserve"> </w:t>
      </w:r>
      <w:r w:rsidRPr="007472E3">
        <w:rPr>
          <w:rFonts w:ascii="Century Gothic" w:hAnsi="Century Gothic"/>
          <w:sz w:val="21"/>
          <w:szCs w:val="21"/>
        </w:rPr>
        <w:t xml:space="preserve">prevede </w:t>
      </w:r>
      <w:r w:rsidR="000D4954">
        <w:rPr>
          <w:rFonts w:ascii="Century Gothic" w:hAnsi="Century Gothic"/>
          <w:sz w:val="21"/>
          <w:szCs w:val="21"/>
        </w:rPr>
        <w:t xml:space="preserve">- </w:t>
      </w:r>
      <w:r w:rsidRPr="007472E3">
        <w:rPr>
          <w:rFonts w:ascii="Century Gothic" w:hAnsi="Century Gothic"/>
          <w:sz w:val="21"/>
          <w:szCs w:val="21"/>
        </w:rPr>
        <w:t xml:space="preserve">per le imprese agricole, della pesca e dell’acquacoltura che nell’anno 2023 hanno subito una riduzione del volume d’affari pari almeno al 20 per cento rispetto all’anno precedente - la possibilità di avvalersi della </w:t>
      </w:r>
      <w:r w:rsidRPr="007472E3">
        <w:rPr>
          <w:rFonts w:ascii="Century Gothic" w:hAnsi="Century Gothic"/>
          <w:b/>
          <w:bCs/>
          <w:sz w:val="21"/>
          <w:szCs w:val="21"/>
        </w:rPr>
        <w:t>sospensione, per dodici mesi, del pagamento della quota capitale delle rate</w:t>
      </w:r>
      <w:r w:rsidRPr="007472E3">
        <w:rPr>
          <w:rFonts w:ascii="Century Gothic" w:hAnsi="Century Gothic"/>
          <w:sz w:val="21"/>
          <w:szCs w:val="21"/>
        </w:rPr>
        <w:t xml:space="preserve"> dei mutui e degli altri finanziamenti a rimborso rateale, anche perfezionati tramite il rilascio di cambiali agrarie, </w:t>
      </w:r>
      <w:r w:rsidRPr="007472E3">
        <w:rPr>
          <w:rFonts w:ascii="Century Gothic" w:hAnsi="Century Gothic"/>
          <w:b/>
          <w:bCs/>
          <w:sz w:val="21"/>
          <w:szCs w:val="21"/>
        </w:rPr>
        <w:t>in scadenza nell’anno 2024</w:t>
      </w:r>
      <w:r w:rsidRPr="007472E3">
        <w:rPr>
          <w:rFonts w:ascii="Century Gothic" w:hAnsi="Century Gothic"/>
          <w:sz w:val="21"/>
          <w:szCs w:val="21"/>
        </w:rPr>
        <w:t>, stipulati con banche, intermediari finanziari di cui all'articolo 106 del decreto legislativo 1° settembre 1993, n. 385 (TUB) e altri soggetti abilitati alla concessione di credito in Italia.</w:t>
      </w:r>
    </w:p>
    <w:p w14:paraId="597F3CB7" w14:textId="77777777" w:rsidR="000820B2" w:rsidRPr="006E4FC9" w:rsidRDefault="000820B2" w:rsidP="000820B2">
      <w:pPr>
        <w:spacing w:before="120" w:after="120" w:line="240" w:lineRule="auto"/>
        <w:jc w:val="both"/>
        <w:rPr>
          <w:rFonts w:ascii="Century Gothic" w:hAnsi="Century Gothic"/>
          <w:sz w:val="21"/>
          <w:szCs w:val="21"/>
        </w:rPr>
      </w:pPr>
      <w:r w:rsidRPr="006E4FC9">
        <w:rPr>
          <w:rFonts w:ascii="Century Gothic" w:hAnsi="Century Gothic"/>
          <w:sz w:val="21"/>
          <w:szCs w:val="21"/>
        </w:rPr>
        <w:t>Al riguardo si informa la Spettabile Clientela che la Banca sta effettuando tutti gli adempimenti operativi necessari al fine di dare attuazione alla predetta disposizione.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4405" w:rsidRPr="00C909F6" w14:paraId="2080273B" w14:textId="77777777" w:rsidTr="00B9443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1C7FEA0" w14:textId="77777777" w:rsidR="002F4405" w:rsidRPr="00C909F6" w:rsidRDefault="002F4405" w:rsidP="00B94432">
            <w:pPr>
              <w:spacing w:before="60" w:after="60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C909F6">
              <w:rPr>
                <w:rFonts w:ascii="Century Gothic" w:hAnsi="Century Gothic"/>
                <w:b/>
                <w:bCs/>
                <w:sz w:val="21"/>
                <w:szCs w:val="21"/>
              </w:rPr>
              <w:t>QUALI SONO I SOGGETTI E I RAPPORTI INTERESSATI?</w:t>
            </w:r>
          </w:p>
        </w:tc>
      </w:tr>
    </w:tbl>
    <w:p w14:paraId="140A92D8" w14:textId="6432DD2C" w:rsidR="00814ACC" w:rsidRPr="00814ACC" w:rsidRDefault="00851555" w:rsidP="00473920">
      <w:pPr>
        <w:spacing w:before="120" w:after="120" w:line="240" w:lineRule="auto"/>
        <w:jc w:val="both"/>
        <w:rPr>
          <w:rFonts w:ascii="Century Gothic" w:hAnsi="Century Gothic"/>
          <w:i/>
          <w:iCs/>
          <w:sz w:val="21"/>
          <w:szCs w:val="21"/>
        </w:rPr>
      </w:pPr>
      <w:r w:rsidRPr="00851555">
        <w:rPr>
          <w:rFonts w:ascii="Century Gothic" w:hAnsi="Century Gothic"/>
          <w:sz w:val="21"/>
          <w:szCs w:val="21"/>
        </w:rPr>
        <w:t xml:space="preserve">Le imprese agricole, della pesca e dell’acquacoltura titolari di </w:t>
      </w:r>
      <w:r w:rsidRPr="00851555">
        <w:rPr>
          <w:rFonts w:ascii="Century Gothic" w:hAnsi="Century Gothic"/>
          <w:b/>
          <w:bCs/>
          <w:sz w:val="21"/>
          <w:szCs w:val="21"/>
        </w:rPr>
        <w:t>mutui e d</w:t>
      </w:r>
      <w:r w:rsidR="000D4954">
        <w:rPr>
          <w:rFonts w:ascii="Century Gothic" w:hAnsi="Century Gothic"/>
          <w:b/>
          <w:bCs/>
          <w:sz w:val="21"/>
          <w:szCs w:val="21"/>
        </w:rPr>
        <w:t>i</w:t>
      </w:r>
      <w:r w:rsidRPr="00851555">
        <w:rPr>
          <w:rFonts w:ascii="Century Gothic" w:hAnsi="Century Gothic"/>
          <w:b/>
          <w:bCs/>
          <w:sz w:val="21"/>
          <w:szCs w:val="21"/>
        </w:rPr>
        <w:t xml:space="preserve"> altri finanziamenti a rimborso rateale, anche perfezionati tramite il rilascio di cambiali agrarie</w:t>
      </w:r>
      <w:r w:rsidR="000D4954">
        <w:rPr>
          <w:rFonts w:ascii="Century Gothic" w:hAnsi="Century Gothic"/>
          <w:b/>
          <w:bCs/>
          <w:sz w:val="21"/>
          <w:szCs w:val="21"/>
        </w:rPr>
        <w:t>,</w:t>
      </w:r>
      <w:r w:rsidRPr="00851555">
        <w:rPr>
          <w:rFonts w:ascii="Century Gothic" w:hAnsi="Century Gothic"/>
          <w:sz w:val="21"/>
          <w:szCs w:val="21"/>
        </w:rPr>
        <w:t xml:space="preserve"> che nell’anno 2023 hanno subito una </w:t>
      </w:r>
      <w:r w:rsidRPr="00814ACC">
        <w:rPr>
          <w:rFonts w:ascii="Century Gothic" w:hAnsi="Century Gothic"/>
          <w:b/>
          <w:bCs/>
          <w:sz w:val="21"/>
          <w:szCs w:val="21"/>
        </w:rPr>
        <w:t>riduzione del volume d’affari pari almeno al 20 per cento</w:t>
      </w:r>
      <w:r w:rsidRPr="00851555">
        <w:rPr>
          <w:rFonts w:ascii="Century Gothic" w:hAnsi="Century Gothic"/>
          <w:sz w:val="21"/>
          <w:szCs w:val="21"/>
        </w:rPr>
        <w:t xml:space="preserve"> rispetto all’anno precedente</w:t>
      </w:r>
      <w:r w:rsidR="00814ACC">
        <w:rPr>
          <w:rFonts w:ascii="Century Gothic" w:hAnsi="Century Gothic"/>
          <w:sz w:val="21"/>
          <w:szCs w:val="21"/>
        </w:rPr>
        <w:t xml:space="preserve"> </w:t>
      </w:r>
      <w:r w:rsidR="00814ACC" w:rsidRPr="00814ACC">
        <w:rPr>
          <w:rFonts w:ascii="Century Gothic" w:hAnsi="Century Gothic"/>
          <w:sz w:val="21"/>
          <w:szCs w:val="21"/>
        </w:rPr>
        <w:t>e</w:t>
      </w:r>
      <w:r w:rsidR="00814ACC">
        <w:rPr>
          <w:rFonts w:ascii="Century Gothic" w:hAnsi="Century Gothic"/>
          <w:i/>
          <w:iCs/>
          <w:sz w:val="21"/>
          <w:szCs w:val="21"/>
        </w:rPr>
        <w:t xml:space="preserve"> </w:t>
      </w:r>
      <w:r w:rsidR="00814ACC" w:rsidRPr="00814ACC">
        <w:rPr>
          <w:rFonts w:ascii="Century Gothic" w:hAnsi="Century Gothic"/>
          <w:sz w:val="21"/>
          <w:szCs w:val="21"/>
        </w:rPr>
        <w:t xml:space="preserve">le cui esposizioni debitorie non siano, al 16 maggio 2024, </w:t>
      </w:r>
      <w:r w:rsidR="00814ACC" w:rsidRPr="00814ACC">
        <w:rPr>
          <w:rFonts w:ascii="Century Gothic" w:hAnsi="Century Gothic"/>
          <w:b/>
          <w:bCs/>
          <w:sz w:val="21"/>
          <w:szCs w:val="21"/>
        </w:rPr>
        <w:t>classificate come esposizioni creditizie deteriorate,</w:t>
      </w:r>
      <w:r w:rsidR="00814ACC" w:rsidRPr="00814ACC">
        <w:rPr>
          <w:rFonts w:ascii="Century Gothic" w:hAnsi="Century Gothic"/>
          <w:sz w:val="21"/>
          <w:szCs w:val="21"/>
        </w:rPr>
        <w:t xml:space="preserve"> ai sensi della disciplina applicabile agli intermediari creditizi.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F4405" w:rsidRPr="00CA4AB1" w14:paraId="30CCB61B" w14:textId="77777777" w:rsidTr="00B94432">
        <w:tc>
          <w:tcPr>
            <w:tcW w:w="9628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69DF2649" w14:textId="77777777" w:rsidR="002F4405" w:rsidRPr="00CA4AB1" w:rsidRDefault="002F4405" w:rsidP="00B94432">
            <w:pPr>
              <w:spacing w:before="60" w:after="60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CA4AB1">
              <w:rPr>
                <w:rFonts w:ascii="Century Gothic" w:hAnsi="Century Gothic"/>
                <w:b/>
                <w:bCs/>
                <w:sz w:val="21"/>
                <w:szCs w:val="21"/>
              </w:rPr>
              <w:t>QUALI SONO LE CARATTERISTICHE DELLA MISURA?</w:t>
            </w:r>
          </w:p>
        </w:tc>
      </w:tr>
    </w:tbl>
    <w:p w14:paraId="7E72312B" w14:textId="0E5BD14E" w:rsidR="00851555" w:rsidRDefault="00851555" w:rsidP="00851555">
      <w:pPr>
        <w:spacing w:before="120" w:after="120" w:line="240" w:lineRule="auto"/>
        <w:jc w:val="both"/>
        <w:rPr>
          <w:rFonts w:ascii="Century Gothic" w:hAnsi="Century Gothic"/>
          <w:sz w:val="21"/>
          <w:szCs w:val="21"/>
        </w:rPr>
      </w:pPr>
      <w:r w:rsidRPr="00851555">
        <w:rPr>
          <w:rFonts w:ascii="Century Gothic" w:hAnsi="Century Gothic"/>
          <w:sz w:val="21"/>
          <w:szCs w:val="21"/>
        </w:rPr>
        <w:t xml:space="preserve">I soggetti </w:t>
      </w:r>
      <w:r w:rsidR="00184F19">
        <w:rPr>
          <w:rFonts w:ascii="Century Gothic" w:hAnsi="Century Gothic"/>
          <w:sz w:val="21"/>
          <w:szCs w:val="21"/>
        </w:rPr>
        <w:t xml:space="preserve">interessati </w:t>
      </w:r>
      <w:r w:rsidRPr="00851555">
        <w:rPr>
          <w:rFonts w:ascii="Century Gothic" w:hAnsi="Century Gothic"/>
          <w:sz w:val="21"/>
          <w:szCs w:val="21"/>
        </w:rPr>
        <w:t xml:space="preserve">hanno il diritto di chiedere agli istituti di credito e bancari una </w:t>
      </w:r>
      <w:r w:rsidRPr="00851555">
        <w:rPr>
          <w:rFonts w:ascii="Century Gothic" w:hAnsi="Century Gothic"/>
          <w:b/>
          <w:bCs/>
          <w:sz w:val="21"/>
          <w:szCs w:val="21"/>
        </w:rPr>
        <w:t>sospensione del pagamento della sola quota capitale delle rate</w:t>
      </w:r>
      <w:r w:rsidRPr="00851555">
        <w:rPr>
          <w:rFonts w:ascii="Century Gothic" w:hAnsi="Century Gothic"/>
          <w:sz w:val="21"/>
          <w:szCs w:val="21"/>
        </w:rPr>
        <w:t xml:space="preserve"> dei finanziamenti di cui sopra.</w:t>
      </w:r>
    </w:p>
    <w:p w14:paraId="5E7FC779" w14:textId="73795B86" w:rsidR="004F6C1B" w:rsidRDefault="004F6C1B" w:rsidP="00851555">
      <w:pPr>
        <w:spacing w:before="120" w:after="120" w:line="240" w:lineRule="auto"/>
        <w:jc w:val="both"/>
        <w:rPr>
          <w:rFonts w:ascii="Century Gothic" w:hAnsi="Century Gothic"/>
          <w:sz w:val="21"/>
          <w:szCs w:val="21"/>
        </w:rPr>
      </w:pPr>
      <w:r w:rsidRPr="00851555">
        <w:rPr>
          <w:rFonts w:ascii="Century Gothic" w:hAnsi="Century Gothic"/>
          <w:sz w:val="21"/>
          <w:szCs w:val="21"/>
        </w:rPr>
        <w:t xml:space="preserve">In questo caso, durante il periodo di sospensione il </w:t>
      </w:r>
      <w:r w:rsidR="000D4954">
        <w:rPr>
          <w:rFonts w:ascii="Century Gothic" w:hAnsi="Century Gothic"/>
          <w:sz w:val="21"/>
          <w:szCs w:val="21"/>
        </w:rPr>
        <w:t>C</w:t>
      </w:r>
      <w:r w:rsidRPr="00851555">
        <w:rPr>
          <w:rFonts w:ascii="Century Gothic" w:hAnsi="Century Gothic"/>
          <w:sz w:val="21"/>
          <w:szCs w:val="21"/>
        </w:rPr>
        <w:t>liente sarà tenuto al regolare pagamento degli interessi alle scadenze contrattualmente previste.</w:t>
      </w:r>
    </w:p>
    <w:p w14:paraId="63AA1808" w14:textId="0543B6A1" w:rsidR="00851555" w:rsidRPr="00851555" w:rsidRDefault="00851555" w:rsidP="00851555">
      <w:pPr>
        <w:spacing w:before="120" w:after="120" w:line="240" w:lineRule="auto"/>
        <w:jc w:val="both"/>
        <w:rPr>
          <w:rFonts w:ascii="Century Gothic" w:hAnsi="Century Gothic"/>
          <w:sz w:val="21"/>
          <w:szCs w:val="21"/>
        </w:rPr>
      </w:pPr>
      <w:r w:rsidRPr="00851555">
        <w:rPr>
          <w:rFonts w:ascii="Century Gothic" w:hAnsi="Century Gothic"/>
          <w:sz w:val="21"/>
          <w:szCs w:val="21"/>
        </w:rPr>
        <w:t>La sospensione non determina l’applicazione di interessi di mora per il periodo di sospensione</w:t>
      </w:r>
      <w:r w:rsidR="000D4954">
        <w:rPr>
          <w:rFonts w:ascii="Century Gothic" w:hAnsi="Century Gothic"/>
          <w:sz w:val="21"/>
          <w:szCs w:val="21"/>
        </w:rPr>
        <w:t>,</w:t>
      </w:r>
      <w:r w:rsidRPr="00851555">
        <w:rPr>
          <w:rFonts w:ascii="Century Gothic" w:hAnsi="Century Gothic"/>
          <w:sz w:val="21"/>
          <w:szCs w:val="21"/>
        </w:rPr>
        <w:t xml:space="preserve"> fatto salvo il caso in cui il </w:t>
      </w:r>
      <w:r w:rsidR="000D4954">
        <w:rPr>
          <w:rFonts w:ascii="Century Gothic" w:hAnsi="Century Gothic"/>
          <w:sz w:val="21"/>
          <w:szCs w:val="21"/>
        </w:rPr>
        <w:t>C</w:t>
      </w:r>
      <w:r w:rsidRPr="00851555">
        <w:rPr>
          <w:rFonts w:ascii="Century Gothic" w:hAnsi="Century Gothic"/>
          <w:sz w:val="21"/>
          <w:szCs w:val="21"/>
        </w:rPr>
        <w:t xml:space="preserve">liente non adempia al pagamento della quota interessi. </w:t>
      </w:r>
    </w:p>
    <w:p w14:paraId="0F68E5B8" w14:textId="77777777" w:rsidR="00851555" w:rsidRPr="00851555" w:rsidRDefault="00851555" w:rsidP="00851555">
      <w:pPr>
        <w:spacing w:before="120" w:after="120" w:line="240" w:lineRule="auto"/>
        <w:jc w:val="both"/>
        <w:rPr>
          <w:rFonts w:ascii="Century Gothic" w:hAnsi="Century Gothic"/>
          <w:sz w:val="21"/>
          <w:szCs w:val="21"/>
        </w:rPr>
      </w:pPr>
      <w:r w:rsidRPr="00851555">
        <w:rPr>
          <w:rFonts w:ascii="Century Gothic" w:hAnsi="Century Gothic"/>
          <w:sz w:val="21"/>
          <w:szCs w:val="21"/>
        </w:rPr>
        <w:t>La sospensione non comporta l’applicazione di alcuna commissione o spesa di istruttoria e avviene senza richiesta di garanzie aggiuntive.</w:t>
      </w:r>
    </w:p>
    <w:tbl>
      <w:tblPr>
        <w:tblStyle w:val="Grigliatabel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28"/>
      </w:tblGrid>
      <w:tr w:rsidR="00FC6EB6" w:rsidRPr="00AC22AF" w14:paraId="351B94F8" w14:textId="77777777" w:rsidTr="008A083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2BC83DE" w14:textId="66CC0C59" w:rsidR="00FC6EB6" w:rsidRPr="00AC22AF" w:rsidRDefault="00FC6EB6" w:rsidP="008A083E">
            <w:pPr>
              <w:spacing w:before="60" w:after="60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FC6EB6">
              <w:rPr>
                <w:rFonts w:ascii="Century Gothic" w:hAnsi="Century Gothic"/>
                <w:b/>
                <w:bCs/>
                <w:sz w:val="21"/>
                <w:szCs w:val="21"/>
              </w:rPr>
              <w:t>CON QUALI MODALITA’ VA FATTA LA RICHIESTA</w:t>
            </w: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?</w:t>
            </w:r>
          </w:p>
        </w:tc>
      </w:tr>
    </w:tbl>
    <w:p w14:paraId="17D09EFF" w14:textId="76A51FAE" w:rsidR="00CC0D13" w:rsidRPr="00DA2DFD" w:rsidRDefault="00FC6EB6" w:rsidP="00DA2DFD">
      <w:pPr>
        <w:spacing w:before="120" w:after="120" w:line="240" w:lineRule="auto"/>
        <w:jc w:val="both"/>
        <w:rPr>
          <w:rFonts w:ascii="Century Gothic" w:hAnsi="Century Gothic"/>
          <w:sz w:val="21"/>
          <w:szCs w:val="21"/>
        </w:rPr>
      </w:pPr>
      <w:r w:rsidRPr="00FC6EB6">
        <w:rPr>
          <w:rFonts w:ascii="Century Gothic" w:hAnsi="Century Gothic"/>
          <w:sz w:val="21"/>
          <w:szCs w:val="21"/>
        </w:rPr>
        <w:t xml:space="preserve">Gli interessati potranno presentare </w:t>
      </w:r>
      <w:r w:rsidR="00184F19">
        <w:rPr>
          <w:rFonts w:ascii="Century Gothic" w:hAnsi="Century Gothic"/>
          <w:sz w:val="21"/>
          <w:szCs w:val="21"/>
        </w:rPr>
        <w:t>domanda di sospensione</w:t>
      </w:r>
      <w:r w:rsidR="000E268D">
        <w:rPr>
          <w:rFonts w:ascii="Century Gothic" w:hAnsi="Century Gothic"/>
          <w:sz w:val="21"/>
          <w:szCs w:val="21"/>
        </w:rPr>
        <w:t xml:space="preserve"> del pagamento della quota capitale </w:t>
      </w:r>
      <w:r w:rsidRPr="00FC6EB6">
        <w:rPr>
          <w:rFonts w:ascii="Century Gothic" w:hAnsi="Century Gothic"/>
          <w:sz w:val="21"/>
          <w:szCs w:val="21"/>
        </w:rPr>
        <w:t xml:space="preserve">compilando l’apposito </w:t>
      </w:r>
      <w:r w:rsidRPr="00FC6EB6">
        <w:rPr>
          <w:rFonts w:ascii="Century Gothic" w:hAnsi="Century Gothic"/>
          <w:b/>
          <w:bCs/>
          <w:sz w:val="21"/>
          <w:szCs w:val="21"/>
        </w:rPr>
        <w:t>modulo di richiesta</w:t>
      </w:r>
      <w:r w:rsidRPr="00FC6EB6">
        <w:rPr>
          <w:rFonts w:ascii="Century Gothic" w:hAnsi="Century Gothic"/>
          <w:sz w:val="21"/>
          <w:szCs w:val="21"/>
        </w:rPr>
        <w:t xml:space="preserve"> messo a disposizione dalla Banca con </w:t>
      </w:r>
      <w:r w:rsidRPr="00FC6EB6">
        <w:rPr>
          <w:rFonts w:ascii="Century Gothic" w:hAnsi="Century Gothic"/>
          <w:b/>
          <w:bCs/>
          <w:sz w:val="21"/>
          <w:szCs w:val="21"/>
        </w:rPr>
        <w:t>autocertificazione</w:t>
      </w:r>
      <w:r w:rsidR="000E268D">
        <w:rPr>
          <w:rFonts w:ascii="Century Gothic" w:hAnsi="Century Gothic"/>
          <w:b/>
          <w:bCs/>
          <w:sz w:val="21"/>
          <w:szCs w:val="21"/>
        </w:rPr>
        <w:t>,</w:t>
      </w:r>
      <w:r w:rsidRPr="00FC6EB6">
        <w:rPr>
          <w:rFonts w:ascii="Century Gothic" w:hAnsi="Century Gothic"/>
          <w:sz w:val="21"/>
          <w:szCs w:val="21"/>
        </w:rPr>
        <w:t xml:space="preserve"> </w:t>
      </w:r>
      <w:r w:rsidR="000E268D" w:rsidRPr="00FC6EB6">
        <w:rPr>
          <w:rFonts w:ascii="Century Gothic" w:hAnsi="Century Gothic"/>
          <w:sz w:val="21"/>
          <w:szCs w:val="21"/>
        </w:rPr>
        <w:t>ai sensi dell'articolo 47 del testo unico delle disposizioni legislative e regolamentari in materia di documentazione amministrativa, di cui al decreto del Presidente della Repubblica 28 dicembre 2000, n. 445</w:t>
      </w:r>
      <w:r w:rsidR="000E268D">
        <w:rPr>
          <w:rFonts w:ascii="Century Gothic" w:hAnsi="Century Gothic"/>
          <w:sz w:val="21"/>
          <w:szCs w:val="21"/>
        </w:rPr>
        <w:t xml:space="preserve">, </w:t>
      </w:r>
      <w:r w:rsidRPr="00FC6EB6">
        <w:rPr>
          <w:rFonts w:ascii="Century Gothic" w:hAnsi="Century Gothic"/>
          <w:sz w:val="21"/>
          <w:szCs w:val="21"/>
        </w:rPr>
        <w:t>che attes</w:t>
      </w:r>
      <w:r w:rsidR="004F6C1B">
        <w:rPr>
          <w:rFonts w:ascii="Century Gothic" w:hAnsi="Century Gothic"/>
          <w:sz w:val="21"/>
          <w:szCs w:val="21"/>
        </w:rPr>
        <w:t>ti</w:t>
      </w:r>
      <w:r w:rsidRPr="00FC6EB6">
        <w:rPr>
          <w:rFonts w:ascii="Century Gothic" w:hAnsi="Century Gothic"/>
          <w:sz w:val="21"/>
          <w:szCs w:val="21"/>
        </w:rPr>
        <w:t xml:space="preserve"> la</w:t>
      </w:r>
      <w:r w:rsidR="000E268D">
        <w:rPr>
          <w:rFonts w:ascii="Century Gothic" w:hAnsi="Century Gothic"/>
          <w:sz w:val="21"/>
          <w:szCs w:val="21"/>
        </w:rPr>
        <w:t xml:space="preserve"> suddetta</w:t>
      </w:r>
      <w:r w:rsidRPr="00FC6EB6">
        <w:rPr>
          <w:rFonts w:ascii="Century Gothic" w:hAnsi="Century Gothic"/>
          <w:sz w:val="21"/>
          <w:szCs w:val="21"/>
        </w:rPr>
        <w:t xml:space="preserve"> riduzione del volume d’affari.</w:t>
      </w:r>
      <w:r w:rsidR="00CC0D13">
        <w:rPr>
          <w:rFonts w:ascii="Century Gothic" w:hAnsi="Century Gothic"/>
          <w:sz w:val="21"/>
          <w:szCs w:val="21"/>
        </w:rPr>
        <w:t xml:space="preserve"> Il modulo firmato dovrà essere presentato allo sportello in originale o firmato digitalmente alla </w:t>
      </w:r>
      <w:proofErr w:type="spellStart"/>
      <w:r w:rsidR="00CC0D13">
        <w:rPr>
          <w:rFonts w:ascii="Century Gothic" w:hAnsi="Century Gothic"/>
          <w:sz w:val="21"/>
          <w:szCs w:val="21"/>
        </w:rPr>
        <w:t>pec</w:t>
      </w:r>
      <w:proofErr w:type="spellEnd"/>
      <w:r w:rsidR="00CC0D13">
        <w:rPr>
          <w:rFonts w:ascii="Century Gothic" w:hAnsi="Century Gothic"/>
          <w:sz w:val="21"/>
          <w:szCs w:val="21"/>
        </w:rPr>
        <w:t xml:space="preserve"> perfezionamento08904@legalmail.it.</w:t>
      </w:r>
    </w:p>
    <w:p w14:paraId="1C6568CD" w14:textId="6C5D7248" w:rsidR="002402E5" w:rsidRPr="006E4FC9" w:rsidRDefault="002402E5" w:rsidP="00862E7C">
      <w:pPr>
        <w:spacing w:before="120" w:after="120" w:line="240" w:lineRule="auto"/>
        <w:jc w:val="both"/>
        <w:rPr>
          <w:rFonts w:ascii="Century Gothic" w:hAnsi="Century Gothic"/>
          <w:sz w:val="21"/>
          <w:szCs w:val="21"/>
        </w:rPr>
      </w:pPr>
      <w:r w:rsidRPr="006E4FC9">
        <w:rPr>
          <w:rFonts w:ascii="Century Gothic" w:hAnsi="Century Gothic"/>
          <w:sz w:val="21"/>
          <w:szCs w:val="21"/>
        </w:rPr>
        <w:t>Il personale della Banca è a disposizione per qualsiasi necessità di chiarimento.</w:t>
      </w:r>
    </w:p>
    <w:p w14:paraId="3266C191" w14:textId="32EA7291" w:rsidR="001705C5" w:rsidRDefault="001705C5" w:rsidP="00862E7C">
      <w:pPr>
        <w:spacing w:before="120" w:after="0" w:line="240" w:lineRule="auto"/>
        <w:jc w:val="both"/>
        <w:rPr>
          <w:rFonts w:ascii="Century Gothic" w:hAnsi="Century Gothic"/>
          <w:sz w:val="21"/>
          <w:szCs w:val="21"/>
        </w:rPr>
      </w:pPr>
      <w:r w:rsidRPr="001705C5">
        <w:rPr>
          <w:rFonts w:ascii="Century Gothic" w:hAnsi="Century Gothic"/>
          <w:sz w:val="21"/>
          <w:szCs w:val="21"/>
        </w:rPr>
        <w:t>Tarzo</w:t>
      </w:r>
      <w:r w:rsidR="00164E59">
        <w:rPr>
          <w:rFonts w:ascii="Century Gothic" w:hAnsi="Century Gothic"/>
          <w:sz w:val="21"/>
          <w:szCs w:val="21"/>
        </w:rPr>
        <w:t>,</w:t>
      </w:r>
      <w:r w:rsidRPr="001705C5">
        <w:rPr>
          <w:rFonts w:ascii="Century Gothic" w:hAnsi="Century Gothic"/>
          <w:sz w:val="21"/>
          <w:szCs w:val="21"/>
        </w:rPr>
        <w:t xml:space="preserve"> 06 maggio 202</w:t>
      </w:r>
      <w:r w:rsidR="00164E59">
        <w:rPr>
          <w:rFonts w:ascii="Century Gothic" w:hAnsi="Century Gothic"/>
          <w:sz w:val="21"/>
          <w:szCs w:val="21"/>
        </w:rPr>
        <w:t>4</w:t>
      </w:r>
      <w:r w:rsidR="00A815C5" w:rsidRPr="006E4FC9">
        <w:rPr>
          <w:rFonts w:ascii="Century Gothic" w:hAnsi="Century Gothic"/>
          <w:sz w:val="21"/>
          <w:szCs w:val="21"/>
        </w:rPr>
        <w:t xml:space="preserve"> </w:t>
      </w:r>
      <w:r w:rsidR="00164E59">
        <w:rPr>
          <w:rFonts w:ascii="Century Gothic" w:hAnsi="Century Gothic"/>
          <w:sz w:val="21"/>
          <w:szCs w:val="21"/>
        </w:rPr>
        <w:tab/>
      </w:r>
      <w:r w:rsidR="00A815C5" w:rsidRPr="006E4FC9">
        <w:rPr>
          <w:rFonts w:ascii="Century Gothic" w:hAnsi="Century Gothic"/>
          <w:sz w:val="21"/>
          <w:szCs w:val="21"/>
        </w:rPr>
        <w:t xml:space="preserve">                                  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 w:rsidR="00A815C5" w:rsidRPr="006E4FC9">
        <w:rPr>
          <w:rFonts w:ascii="Century Gothic" w:hAnsi="Century Gothic"/>
          <w:sz w:val="21"/>
          <w:szCs w:val="21"/>
        </w:rPr>
        <w:t xml:space="preserve">BANCA </w:t>
      </w:r>
      <w:r>
        <w:rPr>
          <w:rFonts w:ascii="Century Gothic" w:hAnsi="Century Gothic"/>
          <w:sz w:val="21"/>
          <w:szCs w:val="21"/>
        </w:rPr>
        <w:t xml:space="preserve">PREALPI SANBIAGIO </w:t>
      </w:r>
    </w:p>
    <w:p w14:paraId="10F05D7D" w14:textId="37BD4CE6" w:rsidR="00A815C5" w:rsidRPr="00CC0D13" w:rsidRDefault="001705C5" w:rsidP="00CC0D13">
      <w:pPr>
        <w:spacing w:before="120" w:after="0" w:line="240" w:lineRule="auto"/>
        <w:ind w:left="4956" w:firstLine="856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CREDITO COOPERATIVO SOC. COOP.</w:t>
      </w:r>
    </w:p>
    <w:sectPr w:rsidR="00A815C5" w:rsidRPr="00CC0D13" w:rsidSect="009243D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D02D" w14:textId="77777777" w:rsidR="00AD09C6" w:rsidRDefault="00AD09C6" w:rsidP="0028566A">
      <w:pPr>
        <w:spacing w:after="0" w:line="240" w:lineRule="auto"/>
      </w:pPr>
      <w:r>
        <w:separator/>
      </w:r>
    </w:p>
  </w:endnote>
  <w:endnote w:type="continuationSeparator" w:id="0">
    <w:p w14:paraId="27FBE416" w14:textId="77777777" w:rsidR="00AD09C6" w:rsidRDefault="00AD09C6" w:rsidP="0028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A017" w14:textId="77777777" w:rsidR="00AD09C6" w:rsidRDefault="00AD09C6" w:rsidP="0028566A">
      <w:pPr>
        <w:spacing w:after="0" w:line="240" w:lineRule="auto"/>
      </w:pPr>
      <w:r>
        <w:separator/>
      </w:r>
    </w:p>
  </w:footnote>
  <w:footnote w:type="continuationSeparator" w:id="0">
    <w:p w14:paraId="26434439" w14:textId="77777777" w:rsidR="00AD09C6" w:rsidRDefault="00AD09C6" w:rsidP="0028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85C7" w14:textId="79521309" w:rsidR="0028566A" w:rsidRDefault="001C11C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B13921" wp14:editId="5611E580">
              <wp:simplePos x="0" y="0"/>
              <wp:positionH relativeFrom="page">
                <wp:posOffset>0</wp:posOffset>
              </wp:positionH>
              <wp:positionV relativeFrom="page">
                <wp:posOffset>189781</wp:posOffset>
              </wp:positionV>
              <wp:extent cx="7560310" cy="517585"/>
              <wp:effectExtent l="0" t="0" r="0" b="0"/>
              <wp:wrapNone/>
              <wp:docPr id="4" name="MSIPCM14294e97ae05d7c6294c2d3e" descr="{&quot;HashCode&quot;:25295346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17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EED777" w14:textId="420D5A3E" w:rsidR="001C11C3" w:rsidRPr="00EE1F9E" w:rsidRDefault="00C05348" w:rsidP="00BF16B2">
                          <w:pPr>
                            <w:spacing w:after="0"/>
                            <w:ind w:left="993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2FE225" wp14:editId="0C035061">
                                <wp:extent cx="3571875" cy="419100"/>
                                <wp:effectExtent l="0" t="0" r="9525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71875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13921" id="_x0000_t202" coordsize="21600,21600" o:spt="202" path="m,l,21600r21600,l21600,xe">
              <v:stroke joinstyle="miter"/>
              <v:path gradientshapeok="t" o:connecttype="rect"/>
            </v:shapetype>
            <v:shape id="MSIPCM14294e97ae05d7c6294c2d3e" o:spid="_x0000_s1026" type="#_x0000_t202" alt="{&quot;HashCode&quot;:252953469,&quot;Height&quot;:841.0,&quot;Width&quot;:595.0,&quot;Placement&quot;:&quot;Header&quot;,&quot;Index&quot;:&quot;Primary&quot;,&quot;Section&quot;:1,&quot;Top&quot;:0.0,&quot;Left&quot;:0.0}" style="position:absolute;margin-left:0;margin-top:14.95pt;width:595.3pt;height:40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" o:allowincell="f" filled="f" stroked="f" strokeweight=".5pt">
              <v:textbox inset=",0,20pt,0">
                <w:txbxContent>
                  <w:p w14:paraId="39EED777" w14:textId="420D5A3E" w:rsidR="001C11C3" w:rsidRPr="00EE1F9E" w:rsidRDefault="00C05348" w:rsidP="00BF16B2">
                    <w:pPr>
                      <w:spacing w:after="0"/>
                      <w:ind w:left="993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2FE225" wp14:editId="0C035061">
                          <wp:extent cx="3571875" cy="419100"/>
                          <wp:effectExtent l="0" t="0" r="9525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71875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7FE"/>
    <w:multiLevelType w:val="hybridMultilevel"/>
    <w:tmpl w:val="EB48D1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DD65BA8"/>
    <w:multiLevelType w:val="hybridMultilevel"/>
    <w:tmpl w:val="528AE1EE"/>
    <w:lvl w:ilvl="0" w:tplc="DB549E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71916"/>
    <w:multiLevelType w:val="hybridMultilevel"/>
    <w:tmpl w:val="4FBC76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E7842B7"/>
    <w:multiLevelType w:val="hybridMultilevel"/>
    <w:tmpl w:val="2B688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462124">
    <w:abstractNumId w:val="2"/>
  </w:num>
  <w:num w:numId="2" w16cid:durableId="231277741">
    <w:abstractNumId w:val="0"/>
  </w:num>
  <w:num w:numId="3" w16cid:durableId="1652441254">
    <w:abstractNumId w:val="1"/>
  </w:num>
  <w:num w:numId="4" w16cid:durableId="1531532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6A"/>
    <w:rsid w:val="000006AF"/>
    <w:rsid w:val="00000F32"/>
    <w:rsid w:val="0002152C"/>
    <w:rsid w:val="000465FB"/>
    <w:rsid w:val="0007399B"/>
    <w:rsid w:val="000820B2"/>
    <w:rsid w:val="000D4954"/>
    <w:rsid w:val="000E268D"/>
    <w:rsid w:val="00114351"/>
    <w:rsid w:val="00130B57"/>
    <w:rsid w:val="00164E59"/>
    <w:rsid w:val="001705C5"/>
    <w:rsid w:val="00184F19"/>
    <w:rsid w:val="001931FA"/>
    <w:rsid w:val="00194D94"/>
    <w:rsid w:val="00197482"/>
    <w:rsid w:val="001B0467"/>
    <w:rsid w:val="001C11C3"/>
    <w:rsid w:val="001C4218"/>
    <w:rsid w:val="002402E5"/>
    <w:rsid w:val="002514CD"/>
    <w:rsid w:val="0028566A"/>
    <w:rsid w:val="002C3515"/>
    <w:rsid w:val="002D5294"/>
    <w:rsid w:val="002F4405"/>
    <w:rsid w:val="002F7D33"/>
    <w:rsid w:val="00394B24"/>
    <w:rsid w:val="003B447E"/>
    <w:rsid w:val="003B634A"/>
    <w:rsid w:val="003C6AA8"/>
    <w:rsid w:val="003F00A9"/>
    <w:rsid w:val="0040369B"/>
    <w:rsid w:val="0040739B"/>
    <w:rsid w:val="00410318"/>
    <w:rsid w:val="00410758"/>
    <w:rsid w:val="0042270A"/>
    <w:rsid w:val="0043613B"/>
    <w:rsid w:val="0044097B"/>
    <w:rsid w:val="00440AAB"/>
    <w:rsid w:val="004731AE"/>
    <w:rsid w:val="00473920"/>
    <w:rsid w:val="0048736C"/>
    <w:rsid w:val="004962C3"/>
    <w:rsid w:val="00497459"/>
    <w:rsid w:val="004B680C"/>
    <w:rsid w:val="004D68FB"/>
    <w:rsid w:val="004F6C1B"/>
    <w:rsid w:val="00501130"/>
    <w:rsid w:val="00567FA3"/>
    <w:rsid w:val="00580988"/>
    <w:rsid w:val="00597700"/>
    <w:rsid w:val="0067727D"/>
    <w:rsid w:val="006975B8"/>
    <w:rsid w:val="006A7807"/>
    <w:rsid w:val="006E4FC9"/>
    <w:rsid w:val="00735551"/>
    <w:rsid w:val="007472E3"/>
    <w:rsid w:val="0075749D"/>
    <w:rsid w:val="0079668F"/>
    <w:rsid w:val="007B62AA"/>
    <w:rsid w:val="007D336A"/>
    <w:rsid w:val="008037F9"/>
    <w:rsid w:val="00811015"/>
    <w:rsid w:val="00814ACC"/>
    <w:rsid w:val="008343AF"/>
    <w:rsid w:val="00851555"/>
    <w:rsid w:val="00862E7C"/>
    <w:rsid w:val="008828C7"/>
    <w:rsid w:val="008965B8"/>
    <w:rsid w:val="009243DD"/>
    <w:rsid w:val="0093377F"/>
    <w:rsid w:val="00955BAC"/>
    <w:rsid w:val="009A745A"/>
    <w:rsid w:val="009D47C3"/>
    <w:rsid w:val="009D53F3"/>
    <w:rsid w:val="009E6D03"/>
    <w:rsid w:val="00A073E1"/>
    <w:rsid w:val="00A72626"/>
    <w:rsid w:val="00A74855"/>
    <w:rsid w:val="00A815C5"/>
    <w:rsid w:val="00AB4E71"/>
    <w:rsid w:val="00AC6A8D"/>
    <w:rsid w:val="00AD09C6"/>
    <w:rsid w:val="00AD5927"/>
    <w:rsid w:val="00B050A4"/>
    <w:rsid w:val="00B06E64"/>
    <w:rsid w:val="00B36BEF"/>
    <w:rsid w:val="00B5437D"/>
    <w:rsid w:val="00B93392"/>
    <w:rsid w:val="00B94432"/>
    <w:rsid w:val="00BB2F01"/>
    <w:rsid w:val="00BE12D3"/>
    <w:rsid w:val="00BE52F9"/>
    <w:rsid w:val="00BF16B2"/>
    <w:rsid w:val="00BF2A9C"/>
    <w:rsid w:val="00C05348"/>
    <w:rsid w:val="00C13111"/>
    <w:rsid w:val="00C3406C"/>
    <w:rsid w:val="00C35255"/>
    <w:rsid w:val="00C7611A"/>
    <w:rsid w:val="00CC0D13"/>
    <w:rsid w:val="00CD32DE"/>
    <w:rsid w:val="00CE433C"/>
    <w:rsid w:val="00D079F3"/>
    <w:rsid w:val="00D34C43"/>
    <w:rsid w:val="00D56DF5"/>
    <w:rsid w:val="00D87621"/>
    <w:rsid w:val="00DA2DFD"/>
    <w:rsid w:val="00DA6549"/>
    <w:rsid w:val="00DB2A7B"/>
    <w:rsid w:val="00DB3032"/>
    <w:rsid w:val="00E46184"/>
    <w:rsid w:val="00E51E3F"/>
    <w:rsid w:val="00E82FE2"/>
    <w:rsid w:val="00EC6B33"/>
    <w:rsid w:val="00EE1F9E"/>
    <w:rsid w:val="00F02771"/>
    <w:rsid w:val="00FC6EB6"/>
    <w:rsid w:val="00FE33F5"/>
    <w:rsid w:val="00FF2A93"/>
    <w:rsid w:val="00FF388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96D8"/>
  <w15:chartTrackingRefBased/>
  <w15:docId w15:val="{DF27BAC8-569F-4748-81AD-01721E38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66A"/>
  </w:style>
  <w:style w:type="paragraph" w:styleId="Pidipagina">
    <w:name w:val="footer"/>
    <w:basedOn w:val="Normale"/>
    <w:link w:val="PidipaginaCarattere"/>
    <w:uiPriority w:val="99"/>
    <w:unhideWhenUsed/>
    <w:rsid w:val="00285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66A"/>
  </w:style>
  <w:style w:type="table" w:styleId="Grigliatabella">
    <w:name w:val="Table Grid"/>
    <w:basedOn w:val="Tabellanormale"/>
    <w:uiPriority w:val="39"/>
    <w:rsid w:val="0092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745A"/>
    <w:pPr>
      <w:ind w:left="720"/>
      <w:contextualSpacing/>
    </w:pPr>
  </w:style>
  <w:style w:type="paragraph" w:styleId="Revisione">
    <w:name w:val="Revision"/>
    <w:hidden/>
    <w:uiPriority w:val="99"/>
    <w:semiHidden/>
    <w:rsid w:val="0002152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215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15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15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15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152C"/>
    <w:rPr>
      <w:b/>
      <w:bCs/>
      <w:sz w:val="20"/>
      <w:szCs w:val="20"/>
    </w:rPr>
  </w:style>
  <w:style w:type="paragraph" w:customStyle="1" w:styleId="dj-para-center">
    <w:name w:val="dj-para-center"/>
    <w:basedOn w:val="Normale"/>
    <w:rsid w:val="00A815C5"/>
    <w:pPr>
      <w:spacing w:after="0" w:line="330" w:lineRule="atLeast"/>
      <w:jc w:val="center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j-para-right">
    <w:name w:val="dj-para-right"/>
    <w:basedOn w:val="Normale"/>
    <w:rsid w:val="00A815C5"/>
    <w:pPr>
      <w:spacing w:after="0" w:line="330" w:lineRule="atLeast"/>
      <w:jc w:val="right"/>
    </w:pPr>
    <w:rPr>
      <w:rFonts w:ascii="Arial" w:eastAsia="Arial" w:hAnsi="Arial" w:cs="Arial"/>
      <w:sz w:val="24"/>
      <w:szCs w:val="24"/>
      <w:lang w:eastAsia="it-IT"/>
    </w:rPr>
  </w:style>
  <w:style w:type="character" w:customStyle="1" w:styleId="dj-grassetto">
    <w:name w:val="dj-grassetto"/>
    <w:basedOn w:val="Carpredefinitoparagrafo"/>
    <w:rsid w:val="00A815C5"/>
    <w:rPr>
      <w:b/>
      <w:bCs/>
    </w:rPr>
  </w:style>
  <w:style w:type="table" w:customStyle="1" w:styleId="dj-doc-table">
    <w:name w:val="dj-doc-table"/>
    <w:basedOn w:val="Tabellanormale"/>
    <w:rsid w:val="00A81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ABE3-3A38-42D0-AF28-BEB655D2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Fantino</dc:creator>
  <cp:keywords/>
  <dc:description/>
  <cp:lastModifiedBy>Luca Buosi</cp:lastModifiedBy>
  <cp:revision>2</cp:revision>
  <dcterms:created xsi:type="dcterms:W3CDTF">2024-06-07T06:30:00Z</dcterms:created>
  <dcterms:modified xsi:type="dcterms:W3CDTF">2024-06-07T06:30:00Z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2023-08-07T11:06:33Z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a80dc9ae-2c34-4f9d-bd80-85e2567b7812</vt:lpwstr>
  </property>
  <property fmtid="{D5CDD505-2E9C-101B-9397-08002B2CF9AE}" pid="8" name="MSIP_Label_b266f2e9-5ba9-41e8-bb3a-ae1808c10e86_ContentBits">
    <vt:lpwstr>1</vt:lpwstr>
  </property>
</Properties>
</file>